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2087207750"/>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at the reach of the worldwide population.</w:t>
      </w:r>
      <w:del w:id="10" w:author="Unknown Author" w:date="2018-04-12T10:19:00Z">
        <w:r>
          <w:rPr>
            <w:rFonts w:ascii="Calibri" w:hAnsi="Calibri" w:asciiTheme="majorHAnsi" w:hAnsiTheme="majorHAnsi"/>
            <w:lang w:val="en-GB"/>
          </w:rPr>
          <w:delText xml:space="preserve"> During the last decades </w:delText>
        </w:r>
      </w:del>
      <w:ins w:id="11" w:author="Unknown Author" w:date="2018-04-12T10:19:00Z">
        <w:r>
          <w:rPr>
            <w:rFonts w:ascii="Calibri" w:hAnsi="Calibri" w:asciiTheme="majorHAnsi" w:hAnsiTheme="majorHAnsi"/>
            <w:lang w:val="en-GB"/>
          </w:rPr>
          <w:t>S</w:t>
        </w:r>
      </w:ins>
      <w:ins w:id="12" w:author="Unknown Author" w:date="2018-04-12T10:19:00Z">
        <w:r>
          <w:rPr>
            <w:rFonts w:ascii="Calibri" w:hAnsi="Calibri" w:asciiTheme="majorHAnsi" w:hAnsiTheme="majorHAnsi"/>
            <w:lang w:val="en-GB"/>
          </w:rPr>
          <w:commentReference w:id="0"/>
        </w:r>
      </w:ins>
      <w:del w:id="13"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4"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5" w:author="Unknown Author" w:date="2018-04-12T10:21:00Z">
        <w:r>
          <w:rPr>
            <w:rFonts w:ascii="Calibri" w:hAnsi="Calibri" w:asciiTheme="majorHAnsi" w:hAnsiTheme="majorHAnsi"/>
            <w:lang w:val="en-GB"/>
          </w:rPr>
          <w:t>non-</w:t>
        </w:r>
      </w:ins>
      <w:del w:id="16"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7"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18" w:author="Unknown Author" w:date="2018-04-12T10:21:00Z">
        <w:r>
          <w:rPr>
            <w:rFonts w:ascii="Calibri" w:hAnsi="Calibri" w:asciiTheme="majorHAnsi" w:hAnsiTheme="majorHAnsi"/>
            <w:lang w:val="en-GB"/>
          </w:rPr>
          <w:t>T</w:t>
        </w:r>
      </w:ins>
      <w:del w:id="19" w:author="Unknown Author" w:date="2018-04-12T10:21:00Z">
        <w:r>
          <w:rPr>
            <w:rFonts w:ascii="Calibri" w:hAnsi="Calibri" w:asciiTheme="majorHAnsi" w:hAnsiTheme="majorHAnsi"/>
            <w:lang w:val="en-GB"/>
          </w:rPr>
          <w:delText>Unfo</w:delText>
        </w:r>
      </w:del>
      <w:ins w:id="20" w:author="Unknown Author" w:date="2018-04-12T10:21:00Z">
        <w:r>
          <w:rPr>
            <w:rFonts w:ascii="Calibri" w:hAnsi="Calibri" w:asciiTheme="majorHAnsi" w:hAnsiTheme="majorHAnsi"/>
            <w:lang w:val="en-GB"/>
          </w:rPr>
          <w:commentReference w:id="1"/>
        </w:r>
      </w:ins>
      <w:del w:id="21"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2"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in Sub-Saharan Africa. Effective treatments and preventive measures to control malaria, such as insecticide impregnated bed nets, allowed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The international community is helping the country with the provision of effective treatments, diagnostic and preventive tools. This allowed decreasing the disease burden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and girls 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onsite.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 compared to Manhiça town; but positively associated with the household head working outside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By contrasting the estimated local demand and supply, the theoretical market cleared at a price of 0.70 U$ per uncomplicated malaria episode, unveiling that half the study sample could not afford to pay for the treatment at its market price. However, as estimated suppliers’ surplus was twice the consumers’, intervening 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average economic cost per dose for a demonstration HPV vaccination programme under a school-based approach in Manhiça district was 17.59 US$: 1.42 US$ were introduction, 15.64 US$ recurrent and 0.53 US$ were cold-chain costs. The programme fully immunised the 77% of the total target population, which consisted of 10-year-old girls receiving three doses. The vast majority of them 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of reaching girls at their houses as most of the non-immunised girls were absent or out-of-schools, but also due to certain district characteristics, such as the moderate population density, or the reduced number of health facilities and their large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 care is freely covered by the national health insurance in Morocco, but public health facilities still use invasive and low-effective tools for its diagnosis and treatment. The study findings concluded that the adoption of RDT and short-course L-AmB regimens were cost-effective strategies in comparison with current practices. Therefore, such strategies should be implemented to improve VL management in Morocco and, possibly, to 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unveiled a limiting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HPV vaccine demonstration programme (year 2014) in Manhiça was lower than the mean estimation reported for other similar demonstration programmes in LMICs; but higher was the cost per fully immunised girl. A more efficient use of the 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boosted the epidemiological transition worldwide 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 xml:space="preserve">. Non-communicable diseases represent two thirds of the global mortality and an increasing proportion of the 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of high-income countries (HICs) but also of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main proportion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the 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in terms of 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the 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xml:space="preserve">. They are transmitted to humans by different vectors, such as mosquitoes, sandflies, ticks or freshwater snails. Malaria, dengue, yellow fever, leishmaniasis and schistosomiasis are some of the most prevalent vector-borne diseases globally. Other infectious diseases are instead transmitted through direct contact between human beings. Therefore, these infections are strictly more linked to human behaviour than vector-borne diseases are. This is the case of human immunodeficiency virus (HIV), hepatitis and human papillomavirus (HPV), among many others. Interestingly, several infections are risk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decades, due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The international awareness on the 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political commitment is not exempt from problems of restricted donor countries’ contributions, as a consequence of external financial shocks or domestic political lobbing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the international financial aid given by governments and international agencies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making them at the reach of the worldwide population. During the last decades several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of 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was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constantly requires the development of new tools. Despite the large improvements achieved worldwide, the control of infectious diseases is threatened by the 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Research in health economics has experienced an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choosing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to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concretises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All in all, since more of the global infectious diseases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 and public health challenges, but they represent well the current heterogeneous epidemiological situation of LMICs: while Mozambique’s efforts are still aiming at the control of infectious diseases such as HIV/AIDS, malaria or tuberculosis; Morocco’s burden and financial efforts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xml:space="preserve">. It mainly affects poorer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albeit 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of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Artemisinin-based combination therapies (ACTs) remain effective drugs 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xml:space="preserve">. The WHO adopted an integrated vector management (IVM)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xml:space="preserve">, treatment-seeking behaviours,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Finally, several economists have studies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the infection with high-risk HPV types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decades, incidence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general objective of this thesis is to contribute, through the economic analysis, to identify barriers to access and 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is based on the work undertook 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The district encompasses two hospitals and 12 health centres, being the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rFonts w:ascii="Times New Roman" w:hAnsi="Times New Roman" w:cs="Times New Roman"/>
        </w:rPr>
      </w:pPr>
      <w:r>
        <w:rPr>
          <w:rFonts w:cs="Times New Roman" w:ascii="Times New Roman" w:hAnsi="Times New Roman"/>
        </w:rPr>
        <w:t>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due to the challenges to reach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rFonts w:ascii="Times New Roman" w:hAnsi="Times New Roman" w:cs="Times New Roman"/>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an economic cost per dose resulted in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b/>
          <w:b/>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hits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of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 xml:space="preserve">The development of safe and efficacious vaccines against the two high-risk HPV genotypes raised hope to reduce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to reach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the 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rFonts w:ascii="Times New Roman" w:hAnsi="Times New Roman" w:cs="Times New Roman"/>
          <w:b/>
          <w:b/>
          <w:color w:val="000000" w:themeColor="text1"/>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the households owned a radio but only 3% of them owned a car. 17% of the 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the vaccine procurement, delivery and administration. While representatives at 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rFonts w:ascii="Times New Roman" w:hAnsi="Times New Roman" w:cs="Times New Roman"/>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responsible, EPI financial responsible,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xml:space="preserve">. A linear depreciation approach was used to capture the value loss of certain products subject to devaluation, such as vehicles, using a standard discount rate of 3%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the 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an 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distinguished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 xml:space="preserve">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excluded due to unavailability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rFonts w:ascii="Times New Roman" w:hAnsi="Times New Roman" w:cs="Times New Roman"/>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the 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The service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r>
        <w:rPr>
          <w:rFonts w:cs="Times New Roman" w:ascii="Times New Roman" w:hAnsi="Times New Roman"/>
        </w:rPr>
        <w:t xml:space="preserve">However,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91</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111</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135</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212</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212</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Application>LibreOffice/5.1.6.2$Linux_X86_64 LibreOffice_project/10m0$Build-2</Application>
  <Pages>212</Pages>
  <Words>32098</Words>
  <Characters>183438</Characters>
  <CharactersWithSpaces>211623</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2018-04-12T10:22:09Z</dcterms:modified>
  <cp:revision>65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